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086"/>
      </w:tblGrid>
      <w:tr>
        <w:tc>
          <w:tcPr>
            <w:tcW w:type="dxa" w:w="9792"/>
            <w:vAlign w:val="center"/>
            <w:shd w:fill="F4EFFA"/>
            <w:tcMar>
              <w:top w:w="120" w:type="dxa"/>
              <w:start w:w="180" w:type="dxa"/>
              <w:bottom w:w="120" w:type="dxa"/>
              <w:end w:w="180" w:type="dxa"/>
            </w:tcMar>
            <w:tcBorders>
              <w:bottom w:val="single" w:sz="9" w:color="B7A1D6"/>
            </w:tcBorders>
          </w:tcPr>
          <w:p>
            <w:pPr>
              <w:jc w:val="center"/>
            </w:pPr>
            <w:r>
              <w:rPr>
                <w:rFonts w:ascii="Aptos" w:hAnsi="Aptos"/>
                <w:b/>
                <w:color w:val="6E6475"/>
                <w:sz w:val="17"/>
              </w:rPr>
              <w:t>AE HAIR &amp; BEAUTY • WEBSITE POLICY</w:t>
            </w:r>
          </w:p>
        </w:tc>
      </w:tr>
    </w:tbl>
    <w:p>
      <w:pPr>
        <w:spacing w:after="0"/>
      </w:pPr>
    </w:p>
    <w:p>
      <w:pPr>
        <w:pStyle w:val="Title"/>
        <w:jc w:val="center"/>
      </w:pPr>
      <w:r>
        <w:t>Privacy Policy</w:t>
      </w:r>
    </w:p>
    <w:p>
      <w:pPr>
        <w:jc w:val="center"/>
      </w:pPr>
      <w:r>
        <w:rPr>
          <w:color w:val="6E6475"/>
          <w:sz w:val="18"/>
        </w:rPr>
        <w:t>Last updated: 18 September 2026</w:t>
      </w:r>
    </w:p>
    <w:p>
      <w:pPr>
        <w:spacing w:before="100" w:after="240"/>
        <w:jc w:val="center"/>
      </w:pPr>
      <w:r>
        <w:rPr>
          <w:i/>
          <w:color w:val="332C3A"/>
          <w:sz w:val="20"/>
        </w:rPr>
        <w:t>How we collect, use and protect personal information when you visit our website, make an enquiry or book a service.</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At a glance</w:t>
              <w:br/>
            </w:r>
            <w:r>
              <w:rPr>
                <w:color w:val="332C3A"/>
                <w:sz w:val="18"/>
              </w:rPr>
              <w:t>Aimee Gregory, trading as AE Hair &amp; Beauty, is the data controller. We use personal information to manage enquiries and appointments, provide safe and personalised services, take payment, meet legal obligations and—where you choose—send marketing or use photographs.</w:t>
            </w:r>
          </w:p>
        </w:tc>
      </w:tr>
    </w:tbl>
    <w:p>
      <w:pPr>
        <w:pStyle w:val="Heading1"/>
      </w:pPr>
      <w:r>
        <w:t>1. Who we are</w:t>
      </w:r>
    </w:p>
    <w:p>
      <w:r>
        <w:t>This privacy policy applies to AE Hair &amp; Beauty. The business is operated by Aimee Gregory as a sole trader. For UK data protection law, Aimee Gregory is the controller of the personal information described in this policy.</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Contact us</w:t>
              <w:br/>
            </w:r>
            <w:r>
              <w:rPr>
                <w:color w:val="332C3A"/>
                <w:sz w:val="18"/>
              </w:rPr>
              <w:t>Aimee Gregory trading as AE Hair &amp; Beauty (sole trader)</w:t>
              <w:br/>
              <w:t>Edwinstowe House, Borough High Street, Edwinstowe, Mansfield NG21 9PR, United Kingdom</w:t>
              <w:br/>
              <w:t>Privacy and general enquiries: please use the contact page at www.aehairandbeauty.co.uk.</w:t>
            </w:r>
          </w:p>
        </w:tc>
      </w:tr>
    </w:tbl>
    <w:p>
      <w:pPr>
        <w:pStyle w:val="Heading1"/>
      </w:pPr>
      <w:r>
        <w:t>2. What this policy covers</w:t>
      </w:r>
    </w:p>
    <w:p>
      <w:r>
        <w:t>This policy covers personal information collected through our website, enquiry and booking forms, telephone or social-media conversations, consultations, patch tests, salon appointments, wedding and occasion bookings, payments, reviews and marketing. Third-party websites and platforms have their own privacy policies.</w:t>
      </w:r>
    </w:p>
    <w:p>
      <w:pPr>
        <w:pStyle w:val="Heading1"/>
      </w:pPr>
      <w:r>
        <w:t>3. Information we may collect</w:t>
      </w:r>
    </w:p>
    <w:p>
      <w:pPr>
        <w:pStyle w:val="ListBullet"/>
      </w:pPr>
      <w:r>
        <w:t>Identity and contact details, such as your name, telephone number, email address and, where needed, your home, venue or getting-ready address.</w:t>
      </w:r>
    </w:p>
    <w:p>
      <w:pPr>
        <w:pStyle w:val="ListBullet"/>
      </w:pPr>
      <w:r>
        <w:t>Appointment and service information, including the services requested, dates, times, wedding-party details, preferences, consultation notes and relevant communications.</w:t>
      </w:r>
    </w:p>
    <w:p>
      <w:pPr>
        <w:pStyle w:val="ListBullet"/>
      </w:pPr>
      <w:r>
        <w:t>Health, allergy, sensitivity, contraindication and patch-test information where it is relevant to providing a safe hair, beauty or make-up service.</w:t>
      </w:r>
    </w:p>
    <w:p>
      <w:pPr>
        <w:pStyle w:val="ListBullet"/>
      </w:pPr>
      <w:r>
        <w:t>Payment and transaction information, such as amounts paid, booking fees, invoices and payment status. Card details are normally handled by the relevant payment provider rather than stored by us.</w:t>
      </w:r>
    </w:p>
    <w:p>
      <w:pPr>
        <w:pStyle w:val="ListBullet"/>
      </w:pPr>
      <w:r>
        <w:t>Photographs, videos, reviews or testimonials where you have chosen to provide them or agreed to their use.</w:t>
      </w:r>
    </w:p>
    <w:p>
      <w:pPr>
        <w:pStyle w:val="ListBullet"/>
      </w:pPr>
      <w:r>
        <w:t>Website and device information, such as IP address, browser, pages viewed, cookie identifiers and analytics information collected through Wix and similar services.</w:t>
      </w:r>
    </w:p>
    <w:p>
      <w:pPr>
        <w:pStyle w:val="ListBullet"/>
      </w:pPr>
      <w:r>
        <w:t>Any other information you choose to give us in an enquiry, consultation or conversation.</w:t>
      </w:r>
    </w:p>
    <w:p>
      <w:pPr>
        <w:pStyle w:val="Heading1"/>
      </w:pPr>
      <w:r>
        <w:t>4. How we collect information</w:t>
      </w:r>
    </w:p>
    <w:p>
      <w:r>
        <w:t>We collect information:</w:t>
      </w:r>
    </w:p>
    <w:p>
      <w:pPr>
        <w:pStyle w:val="ListBullet"/>
      </w:pPr>
      <w:r>
        <w:t>directly from you when you enquire, book, complete a consultation or patch-test record, pay, attend an appointment or contact us;</w:t>
      </w:r>
    </w:p>
    <w:p>
      <w:pPr>
        <w:pStyle w:val="ListBullet"/>
      </w:pPr>
      <w:r>
        <w:t>from a parent, guardian, bride or authorised organiser who makes a booking involving you;</w:t>
      </w:r>
    </w:p>
    <w:p>
      <w:pPr>
        <w:pStyle w:val="ListBullet"/>
      </w:pPr>
      <w:r>
        <w:t>automatically when you use our website, through essential cookies and—where you consent—analytics or similar technologies; and</w:t>
      </w:r>
    </w:p>
    <w:p>
      <w:pPr>
        <w:pStyle w:val="ListBullet"/>
      </w:pPr>
      <w:r>
        <w:t>from service providers involved in bookings, payments, website hosting or communications, where appropriate.</w:t>
      </w:r>
    </w:p>
    <w:p>
      <w:pPr>
        <w:pStyle w:val="Heading1"/>
      </w:pPr>
      <w:r>
        <w:t>5. Why we use your information</w:t>
      </w:r>
    </w:p>
    <w:p>
      <w:r>
        <w:t>We only use personal information when we have a lawful basis. The main purposes and bases are:</w:t>
      </w:r>
    </w:p>
    <w:tbl>
      <w:tblPr>
        <w:tblStyle w:val="TableGrid"/>
        <w:tblW w:type="auto" w:w="0"/>
        <w:jc w:val="center"/>
        <w:tblLook w:firstColumn="1" w:firstRow="1" w:lastColumn="0" w:lastRow="0" w:noHBand="0" w:noVBand="1" w:val="04A0"/>
      </w:tblPr>
      <w:tblGrid>
        <w:gridCol w:w="5043"/>
        <w:gridCol w:w="5043"/>
      </w:tblGrid>
      <w:tr>
        <w:tc>
          <w:tcPr>
            <w:tcW w:type="dxa" w:w="5043"/>
            <w:vAlign w:val="top"/>
            <w:tcMar>
              <w:top w:w="80" w:type="dxa"/>
              <w:start w:w="100" w:type="dxa"/>
              <w:bottom w:w="80" w:type="dxa"/>
              <w:end w:w="100" w:type="dxa"/>
            </w:tcMar>
            <w:shd w:fill="F4EFFA"/>
          </w:tcPr>
          <w:p>
            <w:r>
              <w:rPr>
                <w:rFonts w:ascii="Aptos" w:hAnsi="Aptos"/>
                <w:b/>
                <w:sz w:val="17"/>
              </w:rPr>
              <w:t>Purpose</w:t>
            </w:r>
          </w:p>
        </w:tc>
        <w:tc>
          <w:tcPr>
            <w:tcW w:type="dxa" w:w="5043"/>
            <w:vAlign w:val="top"/>
            <w:tcMar>
              <w:top w:w="80" w:type="dxa"/>
              <w:start w:w="100" w:type="dxa"/>
              <w:bottom w:w="80" w:type="dxa"/>
              <w:end w:w="100" w:type="dxa"/>
            </w:tcMar>
            <w:shd w:fill="F4EFFA"/>
          </w:tcPr>
          <w:p>
            <w:r>
              <w:rPr>
                <w:rFonts w:ascii="Aptos" w:hAnsi="Aptos"/>
                <w:b/>
                <w:sz w:val="17"/>
              </w:rPr>
              <w:t>Lawful basis</w:t>
            </w:r>
          </w:p>
        </w:tc>
      </w:tr>
      <w:tr>
        <w:tc>
          <w:tcPr>
            <w:tcW w:type="dxa" w:w="5043"/>
            <w:vAlign w:val="top"/>
            <w:tcMar>
              <w:top w:w="80" w:type="dxa"/>
              <w:start w:w="100" w:type="dxa"/>
              <w:bottom w:w="80" w:type="dxa"/>
              <w:end w:w="100" w:type="dxa"/>
            </w:tcMar>
          </w:tcPr>
          <w:p>
            <w:r>
              <w:rPr>
                <w:rFonts w:ascii="Aptos" w:hAnsi="Aptos"/>
                <w:sz w:val="17"/>
              </w:rPr>
              <w:t>Responding to enquiries, arranging consultations and managing bookings</w:t>
            </w:r>
          </w:p>
        </w:tc>
        <w:tc>
          <w:tcPr>
            <w:tcW w:type="dxa" w:w="5043"/>
            <w:vAlign w:val="top"/>
            <w:tcMar>
              <w:top w:w="80" w:type="dxa"/>
              <w:start w:w="100" w:type="dxa"/>
              <w:bottom w:w="80" w:type="dxa"/>
              <w:end w:w="100" w:type="dxa"/>
            </w:tcMar>
          </w:tcPr>
          <w:p>
            <w:r>
              <w:rPr>
                <w:rFonts w:ascii="Aptos" w:hAnsi="Aptos"/>
                <w:sz w:val="17"/>
              </w:rPr>
              <w:t>Taking steps at your request and performing our contract with you</w:t>
            </w:r>
          </w:p>
        </w:tc>
      </w:tr>
      <w:tr>
        <w:tc>
          <w:tcPr>
            <w:tcW w:type="dxa" w:w="5043"/>
            <w:vAlign w:val="top"/>
            <w:tcMar>
              <w:top w:w="80" w:type="dxa"/>
              <w:start w:w="100" w:type="dxa"/>
              <w:bottom w:w="80" w:type="dxa"/>
              <w:end w:w="100" w:type="dxa"/>
            </w:tcMar>
          </w:tcPr>
          <w:p>
            <w:r>
              <w:rPr>
                <w:rFonts w:ascii="Aptos" w:hAnsi="Aptos"/>
                <w:sz w:val="17"/>
              </w:rPr>
              <w:t>Providing suitable, safe and personalised services</w:t>
            </w:r>
          </w:p>
        </w:tc>
        <w:tc>
          <w:tcPr>
            <w:tcW w:type="dxa" w:w="5043"/>
            <w:vAlign w:val="top"/>
            <w:tcMar>
              <w:top w:w="80" w:type="dxa"/>
              <w:start w:w="100" w:type="dxa"/>
              <w:bottom w:w="80" w:type="dxa"/>
              <w:end w:w="100" w:type="dxa"/>
            </w:tcMar>
          </w:tcPr>
          <w:p>
            <w:r>
              <w:rPr>
                <w:rFonts w:ascii="Aptos" w:hAnsi="Aptos"/>
                <w:sz w:val="17"/>
              </w:rPr>
              <w:t>Contract; legitimate interests; and, for relevant health information, your explicit consent or another lawful condition where applicable</w:t>
            </w:r>
          </w:p>
        </w:tc>
      </w:tr>
      <w:tr>
        <w:tc>
          <w:tcPr>
            <w:tcW w:type="dxa" w:w="5043"/>
            <w:vAlign w:val="top"/>
            <w:tcMar>
              <w:top w:w="80" w:type="dxa"/>
              <w:start w:w="100" w:type="dxa"/>
              <w:bottom w:w="80" w:type="dxa"/>
              <w:end w:w="100" w:type="dxa"/>
            </w:tcMar>
          </w:tcPr>
          <w:p>
            <w:r>
              <w:rPr>
                <w:rFonts w:ascii="Aptos" w:hAnsi="Aptos"/>
                <w:sz w:val="17"/>
              </w:rPr>
              <w:t>Taking payment, keeping accounts and meeting tax or regulatory duties</w:t>
            </w:r>
          </w:p>
        </w:tc>
        <w:tc>
          <w:tcPr>
            <w:tcW w:type="dxa" w:w="5043"/>
            <w:vAlign w:val="top"/>
            <w:tcMar>
              <w:top w:w="80" w:type="dxa"/>
              <w:start w:w="100" w:type="dxa"/>
              <w:bottom w:w="80" w:type="dxa"/>
              <w:end w:w="100" w:type="dxa"/>
            </w:tcMar>
          </w:tcPr>
          <w:p>
            <w:r>
              <w:rPr>
                <w:rFonts w:ascii="Aptos" w:hAnsi="Aptos"/>
                <w:sz w:val="17"/>
              </w:rPr>
              <w:t>Contract and legal obligation</w:t>
            </w:r>
          </w:p>
        </w:tc>
      </w:tr>
      <w:tr>
        <w:tc>
          <w:tcPr>
            <w:tcW w:type="dxa" w:w="5043"/>
            <w:vAlign w:val="top"/>
            <w:tcMar>
              <w:top w:w="80" w:type="dxa"/>
              <w:start w:w="100" w:type="dxa"/>
              <w:bottom w:w="80" w:type="dxa"/>
              <w:end w:w="100" w:type="dxa"/>
            </w:tcMar>
          </w:tcPr>
          <w:p>
            <w:r>
              <w:rPr>
                <w:rFonts w:ascii="Aptos" w:hAnsi="Aptos"/>
                <w:sz w:val="17"/>
              </w:rPr>
              <w:t>Managing our business, records, complaints, security and legal claims</w:t>
            </w:r>
          </w:p>
        </w:tc>
        <w:tc>
          <w:tcPr>
            <w:tcW w:type="dxa" w:w="5043"/>
            <w:vAlign w:val="top"/>
            <w:tcMar>
              <w:top w:w="80" w:type="dxa"/>
              <w:start w:w="100" w:type="dxa"/>
              <w:bottom w:w="80" w:type="dxa"/>
              <w:end w:w="100" w:type="dxa"/>
            </w:tcMar>
          </w:tcPr>
          <w:p>
            <w:r>
              <w:rPr>
                <w:rFonts w:ascii="Aptos" w:hAnsi="Aptos"/>
                <w:sz w:val="17"/>
              </w:rPr>
              <w:t>Legitimate interests and legal obligation</w:t>
            </w:r>
          </w:p>
        </w:tc>
      </w:tr>
      <w:tr>
        <w:tc>
          <w:tcPr>
            <w:tcW w:type="dxa" w:w="5043"/>
            <w:vAlign w:val="top"/>
            <w:tcMar>
              <w:top w:w="80" w:type="dxa"/>
              <w:start w:w="100" w:type="dxa"/>
              <w:bottom w:w="80" w:type="dxa"/>
              <w:end w:w="100" w:type="dxa"/>
            </w:tcMar>
          </w:tcPr>
          <w:p>
            <w:r>
              <w:rPr>
                <w:rFonts w:ascii="Aptos" w:hAnsi="Aptos"/>
                <w:sz w:val="17"/>
              </w:rPr>
              <w:t>Sending optional news or offers</w:t>
            </w:r>
          </w:p>
        </w:tc>
        <w:tc>
          <w:tcPr>
            <w:tcW w:type="dxa" w:w="5043"/>
            <w:vAlign w:val="top"/>
            <w:tcMar>
              <w:top w:w="80" w:type="dxa"/>
              <w:start w:w="100" w:type="dxa"/>
              <w:bottom w:w="80" w:type="dxa"/>
              <w:end w:w="100" w:type="dxa"/>
            </w:tcMar>
          </w:tcPr>
          <w:p>
            <w:r>
              <w:rPr>
                <w:rFonts w:ascii="Aptos" w:hAnsi="Aptos"/>
                <w:sz w:val="17"/>
              </w:rPr>
              <w:t>Consent, or legitimate interests where the law permits; you can opt out at any time</w:t>
            </w:r>
          </w:p>
        </w:tc>
      </w:tr>
      <w:tr>
        <w:tc>
          <w:tcPr>
            <w:tcW w:type="dxa" w:w="5043"/>
            <w:vAlign w:val="top"/>
            <w:tcMar>
              <w:top w:w="80" w:type="dxa"/>
              <w:start w:w="100" w:type="dxa"/>
              <w:bottom w:w="80" w:type="dxa"/>
              <w:end w:w="100" w:type="dxa"/>
            </w:tcMar>
          </w:tcPr>
          <w:p>
            <w:r>
              <w:rPr>
                <w:rFonts w:ascii="Aptos" w:hAnsi="Aptos"/>
                <w:sz w:val="17"/>
              </w:rPr>
              <w:t>Using identifiable photographs, videos or testimonials for promotion</w:t>
            </w:r>
          </w:p>
        </w:tc>
        <w:tc>
          <w:tcPr>
            <w:tcW w:type="dxa" w:w="5043"/>
            <w:vAlign w:val="top"/>
            <w:tcMar>
              <w:top w:w="80" w:type="dxa"/>
              <w:start w:w="100" w:type="dxa"/>
              <w:bottom w:w="80" w:type="dxa"/>
              <w:end w:w="100" w:type="dxa"/>
            </w:tcMar>
          </w:tcPr>
          <w:p>
            <w:r>
              <w:rPr>
                <w:rFonts w:ascii="Aptos" w:hAnsi="Aptos"/>
                <w:sz w:val="17"/>
              </w:rPr>
              <w:t>Consent, unless another lawful basis has been clearly explained</w:t>
            </w:r>
          </w:p>
        </w:tc>
      </w:tr>
      <w:tr>
        <w:tc>
          <w:tcPr>
            <w:tcW w:type="dxa" w:w="5043"/>
            <w:vAlign w:val="top"/>
            <w:tcMar>
              <w:top w:w="80" w:type="dxa"/>
              <w:start w:w="100" w:type="dxa"/>
              <w:bottom w:w="80" w:type="dxa"/>
              <w:end w:w="100" w:type="dxa"/>
            </w:tcMar>
          </w:tcPr>
          <w:p>
            <w:r>
              <w:rPr>
                <w:rFonts w:ascii="Aptos" w:hAnsi="Aptos"/>
                <w:sz w:val="17"/>
              </w:rPr>
              <w:t>Operating and improving our website</w:t>
            </w:r>
          </w:p>
        </w:tc>
        <w:tc>
          <w:tcPr>
            <w:tcW w:type="dxa" w:w="5043"/>
            <w:vAlign w:val="top"/>
            <w:tcMar>
              <w:top w:w="80" w:type="dxa"/>
              <w:start w:w="100" w:type="dxa"/>
              <w:bottom w:w="80" w:type="dxa"/>
              <w:end w:w="100" w:type="dxa"/>
            </w:tcMar>
          </w:tcPr>
          <w:p>
            <w:r>
              <w:rPr>
                <w:rFonts w:ascii="Aptos" w:hAnsi="Aptos"/>
                <w:sz w:val="17"/>
              </w:rPr>
              <w:t>Legitimate interests for essential functions; consent for non-essential cookies or analytics where required</w:t>
            </w:r>
          </w:p>
        </w:tc>
      </w:tr>
    </w:tbl>
    <w:p>
      <w:pPr>
        <w:pStyle w:val="Heading1"/>
      </w:pPr>
      <w:r>
        <w:t>6. Sensitive health information</w:t>
      </w:r>
    </w:p>
    <w:p>
      <w:r>
        <w:t>Information about allergies, sensitivities, medical conditions or contraindications may be special-category personal data. We ask only for information relevant to the service and normally rely on your explicit consent to record and use it. You may withdraw consent, but we may then be unable to provide a service safely. Please tell us if relevant information changes.</w:t>
      </w:r>
    </w:p>
    <w:p>
      <w:pPr>
        <w:pStyle w:val="Heading1"/>
      </w:pPr>
      <w:r>
        <w:t>7. When we share information</w:t>
      </w:r>
    </w:p>
    <w:p>
      <w:r>
        <w:t>We do not sell personal information. We may share only what is necessary with:</w:t>
      </w:r>
    </w:p>
    <w:p>
      <w:pPr>
        <w:pStyle w:val="ListBullet"/>
      </w:pPr>
      <w:r>
        <w:t>Wix and providers of website hosting, forms, email, booking, payment, accounting, file storage or IT support;</w:t>
      </w:r>
    </w:p>
    <w:p>
      <w:pPr>
        <w:pStyle w:val="ListBullet"/>
      </w:pPr>
      <w:r>
        <w:t>professional advisers, insurers, accountants or payment processors;</w:t>
      </w:r>
    </w:p>
    <w:p>
      <w:pPr>
        <w:pStyle w:val="ListBullet"/>
      </w:pPr>
      <w:r>
        <w:t>a venue, other wedding supplier or member of your party when you ask us to coordinate with them; and</w:t>
      </w:r>
    </w:p>
    <w:p>
      <w:pPr>
        <w:pStyle w:val="ListBullet"/>
      </w:pPr>
      <w:r>
        <w:t>regulators, courts, law-enforcement bodies or other parties where disclosure is required by law or needed to protect legal rights.</w:t>
      </w:r>
    </w:p>
    <w:p>
      <w:r>
        <w:t>Suppliers acting for us must handle information under appropriate confidentiality and data-protection arrangements. Some providers may also act as independent controllers for their own services; their privacy notices will then apply.</w:t>
      </w:r>
    </w:p>
    <w:p>
      <w:pPr>
        <w:pStyle w:val="Heading1"/>
      </w:pPr>
      <w:r>
        <w:t>8. International transfers</w:t>
      </w:r>
    </w:p>
    <w:p>
      <w:r>
        <w:t>Some technology providers may process information outside the United Kingdom. Where UK data-protection law requires it, we use providers that rely on an adequacy decision or appropriate safeguards, such as approved contractual clauses, together with any necessary supplementary measures.</w:t>
      </w:r>
    </w:p>
    <w:p>
      <w:pPr>
        <w:pStyle w:val="Heading1"/>
      </w:pPr>
      <w:r>
        <w:t>9. How long we keep information</w:t>
      </w:r>
    </w:p>
    <w:p>
      <w:r>
        <w:t>We keep information only for as long as reasonably needed for the purpose collected, including legal, tax, insurance and claims requirements. As a general guide:</w:t>
      </w:r>
    </w:p>
    <w:p>
      <w:pPr>
        <w:pStyle w:val="ListBullet"/>
      </w:pPr>
      <w:r>
        <w:t>enquiries that do not become bookings are normally kept for up to 12 months;</w:t>
      </w:r>
    </w:p>
    <w:p>
      <w:pPr>
        <w:pStyle w:val="ListBullet"/>
      </w:pPr>
      <w:r>
        <w:t>booking, consultation, patch-test, payment and service records are generally kept for up to six years after the last relevant service or transaction where needed for business, tax, insurance or legal purposes;</w:t>
      </w:r>
    </w:p>
    <w:p>
      <w:pPr>
        <w:pStyle w:val="ListBullet"/>
      </w:pPr>
      <w:r>
        <w:t>marketing records are kept until you unsubscribe or consent is withdrawn, subject to periodic review; and</w:t>
      </w:r>
    </w:p>
    <w:p>
      <w:pPr>
        <w:pStyle w:val="ListBullet"/>
      </w:pPr>
      <w:r>
        <w:t>photographs and testimonials used with consent are kept until the consent is withdrawn or the material is no longer required, although removal from printed or previously published material may not always be possible immediately.</w:t>
      </w:r>
    </w:p>
    <w:p>
      <w:r>
        <w:t>We may keep limited information for longer where required by law or necessary to establish, exercise or defend legal claims.</w:t>
      </w:r>
    </w:p>
    <w:p>
      <w:pPr>
        <w:pStyle w:val="Heading1"/>
      </w:pPr>
      <w:r>
        <w:t>10. Cookies and website analytics</w:t>
      </w:r>
    </w:p>
    <w:p>
      <w:r>
        <w:t>Our Wix website may use essential cookies so that it works properly. Optional analytics, advertising or similar cookies should be used only in accordance with the choices available through the cookie banner. You can change browser settings to block cookies, although parts of the site may not work as intended. Please see the website cookie notice or settings for current details.</w:t>
      </w:r>
    </w:p>
    <w:p>
      <w:pPr>
        <w:pStyle w:val="Heading1"/>
      </w:pPr>
      <w:r>
        <w:t>11. Marketing choices</w:t>
      </w:r>
    </w:p>
    <w:p>
      <w:r>
        <w:t>You can ask us to stop direct marketing at any time by using an unsubscribe option or contacting us. Stopping marketing does not affect service messages about an existing enquiry or booking.</w:t>
      </w:r>
    </w:p>
    <w:p>
      <w:pPr>
        <w:pStyle w:val="Heading1"/>
      </w:pPr>
      <w:r>
        <w:t>12. Children and young people</w:t>
      </w:r>
    </w:p>
    <w:p>
      <w:r>
        <w:t>Where a service is for a child or young person, we may collect limited information from a parent, guardian or booking organiser. We do not knowingly use children’s information for direct marketing without appropriate permission. A parent or guardian may be asked to provide consent or attend, depending on the service and the young person’s age.</w:t>
      </w:r>
    </w:p>
    <w:p>
      <w:pPr>
        <w:pStyle w:val="Heading1"/>
      </w:pPr>
      <w:r>
        <w:t>13. Your data-protection rights</w:t>
      </w:r>
    </w:p>
    <w:p>
      <w:r>
        <w:t>Depending on the circumstances, you may have the right to:</w:t>
      </w:r>
    </w:p>
    <w:p>
      <w:pPr>
        <w:pStyle w:val="ListBullet"/>
      </w:pPr>
      <w:r>
        <w:t>ask for access to your personal information and a copy of it;</w:t>
      </w:r>
    </w:p>
    <w:p>
      <w:pPr>
        <w:pStyle w:val="ListBullet"/>
      </w:pPr>
      <w:r>
        <w:t>ask us to correct inaccurate or incomplete information;</w:t>
      </w:r>
    </w:p>
    <w:p>
      <w:pPr>
        <w:pStyle w:val="ListBullet"/>
      </w:pPr>
      <w:r>
        <w:t>ask for deletion or restriction of processing;</w:t>
      </w:r>
    </w:p>
    <w:p>
      <w:pPr>
        <w:pStyle w:val="ListBullet"/>
      </w:pPr>
      <w:r>
        <w:t>object to processing based on legitimate interests or to direct marketing;</w:t>
      </w:r>
    </w:p>
    <w:p>
      <w:pPr>
        <w:pStyle w:val="ListBullet"/>
      </w:pPr>
      <w:r>
        <w:t>receive certain information in a portable format; and</w:t>
      </w:r>
    </w:p>
    <w:p>
      <w:pPr>
        <w:pStyle w:val="ListBullet"/>
      </w:pPr>
      <w:r>
        <w:t>withdraw consent at any time, without affecting earlier lawful use.</w:t>
      </w:r>
    </w:p>
    <w:p>
      <w:r>
        <w:t>Rights are not absolute and exemptions may apply. We may need to verify your identity before responding. There is normally no fee, and we aim to respond within one month unless the law allows more time.</w:t>
      </w:r>
    </w:p>
    <w:p>
      <w:pPr>
        <w:pStyle w:val="Heading1"/>
      </w:pPr>
      <w:r>
        <w:t>14. Complaints</w:t>
      </w:r>
    </w:p>
    <w:p>
      <w:r>
        <w:t>Please contact us first so we can try to resolve your concern. You also have the right to complain to the Information Commissioner’s Office (ICO), the UK data-protection regulator, at ico.org.uk/make-a-complaint.</w:t>
      </w:r>
    </w:p>
    <w:p>
      <w:pPr>
        <w:pStyle w:val="Heading1"/>
      </w:pPr>
      <w:r>
        <w:t>15. Security</w:t>
      </w:r>
    </w:p>
    <w:p>
      <w:r>
        <w:t>We use reasonable organisational and technical measures to protect personal information against accidental loss, misuse, unauthorised access, alteration or disclosure. No website, email or storage system can be guaranteed completely secure.</w:t>
      </w:r>
    </w:p>
    <w:p>
      <w:pPr>
        <w:pStyle w:val="Heading1"/>
      </w:pPr>
      <w:r>
        <w:t>16. Automated decisions</w:t>
      </w:r>
    </w:p>
    <w:p>
      <w:r>
        <w:t>We do not use personal information to make decisions about you solely by automated means that produce legal or similarly significant effects.</w:t>
      </w:r>
    </w:p>
    <w:p>
      <w:pPr>
        <w:pStyle w:val="Heading1"/>
      </w:pPr>
      <w:r>
        <w:t>17. Changes to this policy</w:t>
      </w:r>
    </w:p>
    <w:p>
      <w:r>
        <w:t>We may update this policy when our services, suppliers or legal obligations change. The current version will be posted on the website with a revised update date.</w:t>
      </w:r>
    </w:p>
    <w:tbl>
      <w:tblPr>
        <w:tblW w:type="auto" w:w="0"/>
        <w:jc w:val="center"/>
        <w:tblLook w:firstColumn="1" w:firstRow="1" w:lastColumn="0" w:lastRow="0" w:noHBand="0" w:noVBand="1" w:val="04A0"/>
      </w:tblPr>
      <w:tblGrid>
        <w:gridCol w:w="10086"/>
      </w:tblGrid>
      <w:tr>
        <w:tc>
          <w:tcPr>
            <w:tcW w:type="dxa" w:w="10086"/>
            <w:shd w:fill="F4EFFA"/>
            <w:tcMar>
              <w:top w:w="140" w:type="dxa"/>
              <w:start w:w="180" w:type="dxa"/>
              <w:bottom w:w="140" w:type="dxa"/>
              <w:end w:w="180" w:type="dxa"/>
            </w:tcMar>
            <w:tcBorders>
              <w:start w:val="single" w:sz="18" w:color="B7A1D6"/>
            </w:tcBorders>
          </w:tcPr>
          <w:p>
            <w:r>
              <w:rPr>
                <w:b/>
                <w:color w:val="332C3A"/>
                <w:sz w:val="20"/>
              </w:rPr>
              <w:t>Contact us</w:t>
              <w:br/>
            </w:r>
            <w:r>
              <w:rPr>
                <w:color w:val="332C3A"/>
                <w:sz w:val="18"/>
              </w:rPr>
              <w:t>Aimee Gregory trading as AE Hair &amp; Beauty (sole trader)</w:t>
              <w:br/>
              <w:t>Edwinstowe House, Borough High Street, Edwinstowe, Mansfield NG21 9PR, United Kingdom</w:t>
              <w:br/>
              <w:t>Privacy and general enquiries: please use the contact page at www.aehairandbeauty.co.uk.</w:t>
            </w:r>
          </w:p>
        </w:tc>
      </w:tr>
    </w:tbl>
    <w:sectPr w:rsidR="00FC693F" w:rsidRPr="0006063C" w:rsidSect="00034616">
      <w:headerReference w:type="default" r:id="rId9"/>
      <w:footerReference w:type="default" r:id="rId10"/>
      <w:pgSz w:w="12240" w:h="15840"/>
      <w:pgMar w:top="964" w:right="1077" w:bottom="907" w:left="1077"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8064"/>
      <w:gridCol w:w="1872"/>
    </w:tblGrid>
    <w:tr>
      <w:tc>
        <w:tcPr>
          <w:tcW w:type="dxa" w:w="4968"/>
          <w:tcBorders>
            <w:top w:val="single" w:sz="6" w:color="E9E2EF"/>
          </w:tcBorders>
        </w:tcPr>
        <w:p>
          <w:pPr>
            <w:jc w:val="left"/>
          </w:pPr>
          <w:r>
            <w:rPr>
              <w:rFonts w:ascii="Aptos" w:hAnsi="Aptos"/>
              <w:color w:val="6E6475"/>
              <w:sz w:val="14"/>
            </w:rPr>
            <w:t>www.aehairandbeauty.co.uk   •   Edwinstowe House, Borough High Street, Edwinstowe, Mansfield NG21 9PR, United Kingdom</w:t>
          </w:r>
        </w:p>
      </w:tc>
      <w:tc>
        <w:tcPr>
          <w:tcW w:type="dxa" w:w="4968"/>
          <w:tcBorders>
            <w:top w:val="single" w:sz="6" w:color="E9E2EF"/>
          </w:tcBorders>
        </w:tcPr>
        <w:p>
          <w:pPr>
            <w:jc w:val="right"/>
          </w:pPr>
          <w:r>
            <w:rPr>
              <w:color w:val="6E6475"/>
              <w:sz w:val="16"/>
            </w:rPr>
            <w:t xml:space="preserve">Page </w:t>
          </w:r>
          <w:fldSimple w:instr="PAGE"/>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color w:val="6E6475"/>
        <w:sz w:val="17"/>
      </w:rPr>
      <w:t>AE  |  HAIR &amp; BEAUTY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9" w:lineRule="auto"/>
    </w:pPr>
    <w:rPr>
      <w:rFonts w:ascii="Aptos" w:hAnsi="Aptos"/>
      <w:color w:val="332C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332C3A"/>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332C3A"/>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ptos Display" w:hAnsi="Aptos Display"/>
      <w:b w:val="0"/>
      <w:color w:val="332C3A"/>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312" w:hanging="170"/>
      <w:contextualSpacing/>
    </w:pPr>
    <w:rPr>
      <w:rFonts w:ascii="Aptos" w:hAnsi="Aptos"/>
      <w:color w:val="332C3A"/>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12" w:hanging="170"/>
      <w:contextualSpacing/>
    </w:pPr>
    <w:rPr>
      <w:rFonts w:ascii="Aptos" w:hAnsi="Aptos"/>
      <w:color w:val="332C3A"/>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